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5C2" w:rsidRPr="003D66EE" w:rsidRDefault="006F75C2" w:rsidP="006F75C2">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3D66EE">
        <w:rPr>
          <w:rFonts w:ascii="Arial" w:hAnsi="Arial" w:cs="Arial"/>
          <w:b/>
          <w:bCs/>
          <w:noProof/>
          <w:sz w:val="24"/>
          <w:szCs w:val="24"/>
        </w:rPr>
        <w:t>3GPP TSG RAN WG1 Meeting #</w:t>
      </w:r>
      <w:r w:rsidRPr="003D66EE">
        <w:rPr>
          <w:rFonts w:ascii="Arial" w:eastAsia="MS Mincho" w:hAnsi="Arial" w:cs="Arial"/>
          <w:b/>
          <w:bCs/>
          <w:noProof/>
          <w:sz w:val="24"/>
          <w:szCs w:val="24"/>
          <w:lang w:eastAsia="ja-JP"/>
        </w:rPr>
        <w:t>86</w:t>
      </w:r>
      <w:r w:rsidRPr="003D66EE">
        <w:rPr>
          <w:rFonts w:ascii="Arial" w:eastAsia="MS Mincho" w:hAnsi="Arial" w:cs="Arial"/>
          <w:b/>
          <w:bCs/>
          <w:noProof/>
          <w:sz w:val="24"/>
          <w:szCs w:val="24"/>
          <w:lang w:eastAsia="ja-JP"/>
        </w:rPr>
        <w:tab/>
      </w:r>
      <w:r>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ab/>
      </w:r>
      <w:r w:rsidRPr="003D66EE">
        <w:rPr>
          <w:rFonts w:ascii="Arial" w:hAnsi="Arial" w:cs="Arial"/>
          <w:b/>
          <w:bCs/>
          <w:noProof/>
          <w:sz w:val="24"/>
          <w:szCs w:val="24"/>
        </w:rPr>
        <w:t>R1-</w:t>
      </w:r>
      <w:r>
        <w:rPr>
          <w:rFonts w:ascii="Arial" w:hAnsi="Arial" w:cs="Arial"/>
          <w:b/>
          <w:bCs/>
          <w:noProof/>
          <w:sz w:val="24"/>
          <w:szCs w:val="24"/>
        </w:rPr>
        <w:t>167422</w:t>
      </w:r>
    </w:p>
    <w:p w:rsidR="006F75C2" w:rsidRDefault="006F75C2" w:rsidP="006F75C2">
      <w:pPr>
        <w:pStyle w:val="FootnoteText"/>
        <w:rPr>
          <w:rFonts w:ascii="Arial" w:hAnsi="Arial" w:cs="Arial"/>
          <w:b/>
          <w:bCs/>
          <w:noProof/>
          <w:sz w:val="24"/>
          <w:szCs w:val="24"/>
        </w:rPr>
      </w:pPr>
      <w:r w:rsidRPr="003D66EE">
        <w:rPr>
          <w:rFonts w:ascii="Arial" w:hAnsi="Arial" w:cs="Arial"/>
          <w:b/>
          <w:bCs/>
          <w:noProof/>
          <w:sz w:val="24"/>
          <w:szCs w:val="24"/>
        </w:rPr>
        <w:t>Gothenburg, Sweden, 22-26 August 2016</w:t>
      </w:r>
    </w:p>
    <w:p w:rsidR="006F75C2" w:rsidRPr="00226CA3" w:rsidRDefault="006F75C2" w:rsidP="006F75C2">
      <w:pPr>
        <w:pStyle w:val="FootnoteText"/>
        <w:rPr>
          <w:lang w:val="en-US"/>
        </w:rPr>
      </w:pPr>
    </w:p>
    <w:p w:rsidR="006F75C2" w:rsidRPr="00226CA3" w:rsidRDefault="006F75C2" w:rsidP="006F75C2">
      <w:pPr>
        <w:pStyle w:val="TdocHeader2"/>
        <w:jc w:val="left"/>
        <w:rPr>
          <w:sz w:val="20"/>
          <w:lang w:val="en-US"/>
        </w:rPr>
      </w:pPr>
      <w:r w:rsidRPr="00226CA3">
        <w:rPr>
          <w:sz w:val="20"/>
          <w:lang w:val="en-US"/>
        </w:rPr>
        <w:t xml:space="preserve">Source: </w:t>
      </w:r>
      <w:r w:rsidRPr="00226CA3">
        <w:rPr>
          <w:sz w:val="20"/>
          <w:lang w:val="en-US"/>
        </w:rPr>
        <w:tab/>
        <w:t>Ericsson</w:t>
      </w:r>
    </w:p>
    <w:p w:rsidR="006F75C2" w:rsidRPr="00744368" w:rsidRDefault="006F75C2" w:rsidP="006F75C2">
      <w:pPr>
        <w:pStyle w:val="TdocHeader2"/>
        <w:jc w:val="left"/>
        <w:rPr>
          <w:sz w:val="20"/>
          <w:lang w:val="en-US"/>
        </w:rPr>
      </w:pPr>
      <w:r w:rsidRPr="00226CA3">
        <w:rPr>
          <w:sz w:val="20"/>
          <w:lang w:val="en-US"/>
        </w:rPr>
        <w:t>Title:</w:t>
      </w:r>
      <w:r w:rsidRPr="00226CA3">
        <w:rPr>
          <w:sz w:val="20"/>
          <w:lang w:val="en-US"/>
        </w:rPr>
        <w:tab/>
      </w:r>
      <w:r w:rsidRPr="002029A0">
        <w:rPr>
          <w:sz w:val="20"/>
          <w:lang w:val="en-US"/>
        </w:rPr>
        <w:t>Adaptation of MCS, RB allocation, and number of retransmissions</w:t>
      </w:r>
    </w:p>
    <w:p w:rsidR="006F75C2" w:rsidRPr="00744368" w:rsidRDefault="006F75C2" w:rsidP="006F75C2">
      <w:pPr>
        <w:pStyle w:val="TdocHeader2"/>
        <w:jc w:val="left"/>
        <w:rPr>
          <w:sz w:val="20"/>
          <w:lang w:val="en-US"/>
        </w:rPr>
      </w:pPr>
      <w:r w:rsidRPr="00744368">
        <w:rPr>
          <w:sz w:val="20"/>
          <w:lang w:val="en-US"/>
        </w:rPr>
        <w:t>Agenda Item:</w:t>
      </w:r>
      <w:r w:rsidRPr="00744368">
        <w:rPr>
          <w:sz w:val="20"/>
          <w:lang w:val="en-US"/>
        </w:rPr>
        <w:tab/>
      </w:r>
      <w:r>
        <w:rPr>
          <w:sz w:val="20"/>
          <w:lang w:val="en-US"/>
        </w:rPr>
        <w:t>7.2.2.2.3</w:t>
      </w:r>
    </w:p>
    <w:p w:rsidR="006F75C2" w:rsidRDefault="006F75C2" w:rsidP="006F75C2">
      <w:pPr>
        <w:pStyle w:val="TdocHeader2"/>
        <w:jc w:val="left"/>
        <w:rPr>
          <w:sz w:val="20"/>
          <w:lang w:val="en-US"/>
        </w:rPr>
      </w:pPr>
      <w:r w:rsidRPr="00744368">
        <w:rPr>
          <w:sz w:val="20"/>
          <w:lang w:val="en-US"/>
        </w:rPr>
        <w:t>Document for:</w:t>
      </w:r>
      <w:r w:rsidRPr="00744368">
        <w:rPr>
          <w:sz w:val="20"/>
          <w:lang w:val="en-US"/>
        </w:rPr>
        <w:tab/>
        <w:t>Discussion and Decision</w:t>
      </w:r>
    </w:p>
    <w:p w:rsidR="0078373C" w:rsidRPr="004306F8" w:rsidRDefault="00D77223" w:rsidP="004306F8">
      <w:pPr>
        <w:pStyle w:val="Heading1"/>
      </w:pPr>
      <w:bookmarkStart w:id="2" w:name="_Ref446688366"/>
      <w:bookmarkEnd w:id="0"/>
      <w:bookmarkEnd w:id="1"/>
      <w:r w:rsidRPr="007F1723">
        <w:t>Introduction</w:t>
      </w:r>
      <w:bookmarkEnd w:id="2"/>
    </w:p>
    <w:p w:rsidR="0002773A" w:rsidRDefault="00357232" w:rsidP="00C26457">
      <w:pPr>
        <w:pStyle w:val="BodyText"/>
        <w:spacing w:after="240"/>
        <w:jc w:val="both"/>
        <w:rPr>
          <w:spacing w:val="2"/>
          <w:sz w:val="20"/>
          <w:szCs w:val="20"/>
        </w:rPr>
      </w:pPr>
      <w:r>
        <w:rPr>
          <w:spacing w:val="2"/>
          <w:sz w:val="20"/>
          <w:szCs w:val="20"/>
        </w:rPr>
        <w:t>During RAN1#</w:t>
      </w:r>
      <w:r w:rsidR="00EC0450">
        <w:rPr>
          <w:spacing w:val="2"/>
          <w:sz w:val="20"/>
          <w:szCs w:val="20"/>
        </w:rPr>
        <w:t>85</w:t>
      </w:r>
      <w:r>
        <w:rPr>
          <w:spacing w:val="2"/>
          <w:sz w:val="20"/>
          <w:szCs w:val="20"/>
        </w:rPr>
        <w:t>, the following was agreed</w:t>
      </w:r>
      <w:r w:rsidR="00BB5340">
        <w:rPr>
          <w:spacing w:val="2"/>
          <w:sz w:val="20"/>
          <w:szCs w:val="20"/>
        </w:rPr>
        <w:t xml:space="preserve"> </w:t>
      </w:r>
      <w:r w:rsidR="008473C2">
        <w:rPr>
          <w:spacing w:val="2"/>
          <w:sz w:val="20"/>
          <w:szCs w:val="20"/>
        </w:rPr>
        <w:fldChar w:fldCharType="begin"/>
      </w:r>
      <w:r w:rsidR="008473C2">
        <w:rPr>
          <w:spacing w:val="2"/>
          <w:sz w:val="20"/>
          <w:szCs w:val="20"/>
        </w:rPr>
        <w:instrText xml:space="preserve"> REF _Ref450809913 \r \h </w:instrText>
      </w:r>
      <w:r w:rsidR="008473C2">
        <w:rPr>
          <w:spacing w:val="2"/>
          <w:sz w:val="20"/>
          <w:szCs w:val="20"/>
        </w:rPr>
      </w:r>
      <w:r w:rsidR="008473C2">
        <w:rPr>
          <w:spacing w:val="2"/>
          <w:sz w:val="20"/>
          <w:szCs w:val="20"/>
        </w:rPr>
        <w:fldChar w:fldCharType="separate"/>
      </w:r>
      <w:r w:rsidR="006051C2">
        <w:rPr>
          <w:spacing w:val="2"/>
          <w:sz w:val="20"/>
          <w:szCs w:val="20"/>
        </w:rPr>
        <w:t>[1]</w:t>
      </w:r>
      <w:r w:rsidR="008473C2">
        <w:rPr>
          <w:spacing w:val="2"/>
          <w:sz w:val="20"/>
          <w:szCs w:val="20"/>
        </w:rPr>
        <w:fldChar w:fldCharType="end"/>
      </w:r>
      <w:r>
        <w:rPr>
          <w:spacing w:val="2"/>
          <w:sz w:val="20"/>
          <w:szCs w:val="20"/>
        </w:rPr>
        <w:t>:</w:t>
      </w:r>
    </w:p>
    <w:p w:rsidR="00EC0450" w:rsidRPr="009B154E" w:rsidRDefault="00EC0450" w:rsidP="00EC0450">
      <w:pPr>
        <w:rPr>
          <w:rFonts w:eastAsia="Malgun Gothic"/>
          <w:b/>
          <w:iCs/>
          <w:u w:val="single"/>
        </w:rPr>
      </w:pPr>
      <w:r w:rsidRPr="009B154E">
        <w:rPr>
          <w:rFonts w:eastAsia="Malgun Gothic" w:hint="eastAsia"/>
          <w:b/>
          <w:iCs/>
          <w:highlight w:val="green"/>
          <w:u w:val="single"/>
        </w:rPr>
        <w:t>Agreement:</w:t>
      </w:r>
    </w:p>
    <w:p w:rsidR="00EC0450" w:rsidRPr="00AD77AB" w:rsidRDefault="00EC0450" w:rsidP="00EC0450">
      <w:pPr>
        <w:widowControl w:val="0"/>
        <w:numPr>
          <w:ilvl w:val="0"/>
          <w:numId w:val="34"/>
        </w:numPr>
        <w:autoSpaceDE w:val="0"/>
        <w:autoSpaceDN w:val="0"/>
        <w:spacing w:after="0"/>
        <w:rPr>
          <w:rFonts w:eastAsia="Malgun Gothic"/>
          <w:iCs/>
        </w:rPr>
      </w:pPr>
      <w:r w:rsidRPr="00197779">
        <w:rPr>
          <w:rFonts w:eastAsia="Malgun Gothic"/>
          <w:iCs/>
        </w:rPr>
        <w:t xml:space="preserve">Alt 1 + Adapt MCS, the number of RBs, and number of transmission </w:t>
      </w:r>
      <w:proofErr w:type="spellStart"/>
      <w:r w:rsidRPr="00197779">
        <w:rPr>
          <w:rFonts w:eastAsia="Malgun Gothic"/>
          <w:iCs/>
        </w:rPr>
        <w:t>subframes</w:t>
      </w:r>
      <w:proofErr w:type="spellEnd"/>
      <w:r w:rsidRPr="00197779">
        <w:rPr>
          <w:rFonts w:eastAsia="Malgun Gothic"/>
          <w:iCs/>
        </w:rPr>
        <w:t xml:space="preserve"> depending on the UE absolute speed and UE synchronization source (e.g. GNSS or </w:t>
      </w:r>
      <w:proofErr w:type="spellStart"/>
      <w:r w:rsidRPr="00197779">
        <w:rPr>
          <w:rFonts w:eastAsia="Malgun Gothic"/>
          <w:iCs/>
        </w:rPr>
        <w:t>eNB</w:t>
      </w:r>
      <w:proofErr w:type="spellEnd"/>
      <w:r w:rsidRPr="00197779">
        <w:rPr>
          <w:rFonts w:eastAsia="Malgun Gothic"/>
          <w:iCs/>
        </w:rPr>
        <w:t>)</w:t>
      </w:r>
    </w:p>
    <w:p w:rsidR="00EC0450" w:rsidRDefault="00EC0450" w:rsidP="00EC0450">
      <w:pPr>
        <w:widowControl w:val="0"/>
        <w:numPr>
          <w:ilvl w:val="1"/>
          <w:numId w:val="34"/>
        </w:numPr>
        <w:autoSpaceDE w:val="0"/>
        <w:autoSpaceDN w:val="0"/>
        <w:spacing w:after="0"/>
        <w:rPr>
          <w:rFonts w:eastAsia="Malgun Gothic"/>
          <w:iCs/>
        </w:rPr>
      </w:pPr>
      <w:r>
        <w:rPr>
          <w:rFonts w:eastAsia="Malgun Gothic" w:hint="eastAsia"/>
          <w:iCs/>
        </w:rPr>
        <w:t>Options for details of PSSCH</w:t>
      </w:r>
    </w:p>
    <w:p w:rsidR="00EC0450" w:rsidRPr="001F1909" w:rsidRDefault="00EC0450" w:rsidP="00EC0450">
      <w:pPr>
        <w:widowControl w:val="0"/>
        <w:numPr>
          <w:ilvl w:val="2"/>
          <w:numId w:val="34"/>
        </w:numPr>
        <w:autoSpaceDE w:val="0"/>
        <w:autoSpaceDN w:val="0"/>
        <w:spacing w:after="0"/>
        <w:rPr>
          <w:rFonts w:eastAsia="Malgun Gothic"/>
          <w:iCs/>
        </w:rPr>
      </w:pPr>
      <w:r w:rsidRPr="001F1909">
        <w:rPr>
          <w:rFonts w:eastAsia="Malgun Gothic"/>
          <w:iCs/>
        </w:rPr>
        <w:t xml:space="preserve">Network configuration or </w:t>
      </w:r>
      <w:proofErr w:type="spellStart"/>
      <w:r w:rsidRPr="001F1909">
        <w:rPr>
          <w:rFonts w:eastAsia="Malgun Gothic"/>
          <w:iCs/>
        </w:rPr>
        <w:t>preconfiguration</w:t>
      </w:r>
      <w:proofErr w:type="spellEnd"/>
      <w:r w:rsidRPr="001F1909">
        <w:rPr>
          <w:rFonts w:eastAsia="Malgun Gothic"/>
          <w:iCs/>
        </w:rPr>
        <w:t xml:space="preserve"> can be used </w:t>
      </w:r>
      <w:r w:rsidRPr="001F1909">
        <w:rPr>
          <w:rFonts w:eastAsia="Malgun Gothic" w:hint="eastAsia"/>
          <w:iCs/>
        </w:rPr>
        <w:t xml:space="preserve">to </w:t>
      </w:r>
      <w:r>
        <w:rPr>
          <w:rFonts w:eastAsia="Malgun Gothic" w:hint="eastAsia"/>
          <w:iCs/>
        </w:rPr>
        <w:t>associate</w:t>
      </w:r>
      <w:r w:rsidRPr="001F1909">
        <w:rPr>
          <w:rFonts w:eastAsia="Malgun Gothic" w:hint="eastAsia"/>
          <w:iCs/>
        </w:rPr>
        <w:t xml:space="preserve"> the </w:t>
      </w:r>
      <w:r w:rsidRPr="001F1909">
        <w:rPr>
          <w:rFonts w:eastAsia="Malgun Gothic"/>
          <w:iCs/>
        </w:rPr>
        <w:t>ranges of MCS, RB number for PSSCH, number of retransmission</w:t>
      </w:r>
      <w:r w:rsidRPr="001F1909">
        <w:rPr>
          <w:rFonts w:eastAsia="Malgun Gothic" w:hint="eastAsia"/>
          <w:iCs/>
        </w:rPr>
        <w:t xml:space="preserve"> </w:t>
      </w:r>
      <w:r>
        <w:rPr>
          <w:rFonts w:eastAsia="Malgun Gothic" w:hint="eastAsia"/>
          <w:iCs/>
        </w:rPr>
        <w:t>with the condition of the UE absolute speed</w:t>
      </w:r>
      <w:r w:rsidRPr="001F1909">
        <w:rPr>
          <w:rFonts w:eastAsia="Malgun Gothic" w:hint="eastAsia"/>
          <w:iCs/>
        </w:rPr>
        <w:t xml:space="preserve">. Different (pre)configuration </w:t>
      </w:r>
      <w:r>
        <w:rPr>
          <w:rFonts w:eastAsia="Malgun Gothic" w:hint="eastAsia"/>
          <w:iCs/>
        </w:rPr>
        <w:t xml:space="preserve">and </w:t>
      </w:r>
      <w:r>
        <w:rPr>
          <w:rFonts w:eastAsia="Malgun Gothic"/>
          <w:iCs/>
        </w:rPr>
        <w:t>threshold</w:t>
      </w:r>
      <w:r>
        <w:rPr>
          <w:rFonts w:eastAsia="Malgun Gothic" w:hint="eastAsia"/>
          <w:iCs/>
        </w:rPr>
        <w:t xml:space="preserve"> </w:t>
      </w:r>
      <w:r w:rsidRPr="001F1909">
        <w:rPr>
          <w:rFonts w:eastAsia="Malgun Gothic" w:hint="eastAsia"/>
          <w:iCs/>
        </w:rPr>
        <w:t xml:space="preserve">is given for the different type (e.g., </w:t>
      </w:r>
      <w:proofErr w:type="spellStart"/>
      <w:r w:rsidRPr="001F1909">
        <w:rPr>
          <w:rFonts w:eastAsia="Malgun Gothic" w:hint="eastAsia"/>
          <w:iCs/>
        </w:rPr>
        <w:t>eNB</w:t>
      </w:r>
      <w:proofErr w:type="spellEnd"/>
      <w:r w:rsidRPr="001F1909">
        <w:rPr>
          <w:rFonts w:eastAsia="Malgun Gothic" w:hint="eastAsia"/>
          <w:iCs/>
        </w:rPr>
        <w:t xml:space="preserve">, GNSS, </w:t>
      </w:r>
      <w:r>
        <w:rPr>
          <w:rFonts w:eastAsia="Malgun Gothic" w:hint="eastAsia"/>
          <w:iCs/>
        </w:rPr>
        <w:t>UE</w:t>
      </w:r>
      <w:r w:rsidRPr="001F1909">
        <w:rPr>
          <w:rFonts w:eastAsia="Malgun Gothic" w:hint="eastAsia"/>
          <w:iCs/>
        </w:rPr>
        <w:t>) of the transmission synchronization reference.</w:t>
      </w:r>
    </w:p>
    <w:p w:rsidR="00EC0450" w:rsidRDefault="00EC0450" w:rsidP="00EC0450">
      <w:pPr>
        <w:widowControl w:val="0"/>
        <w:numPr>
          <w:ilvl w:val="2"/>
          <w:numId w:val="34"/>
        </w:numPr>
        <w:autoSpaceDE w:val="0"/>
        <w:autoSpaceDN w:val="0"/>
        <w:spacing w:after="0"/>
        <w:rPr>
          <w:rFonts w:eastAsia="Malgun Gothic"/>
          <w:iCs/>
        </w:rPr>
      </w:pPr>
      <w:r>
        <w:rPr>
          <w:rFonts w:eastAsia="Malgun Gothic" w:hint="eastAsia"/>
          <w:iCs/>
        </w:rPr>
        <w:t>RAN1 will study the proper range of these parameters.</w:t>
      </w:r>
    </w:p>
    <w:p w:rsidR="00EC0450" w:rsidRPr="00EC0450" w:rsidRDefault="00EC0450" w:rsidP="00C26457">
      <w:pPr>
        <w:pStyle w:val="BodyText"/>
        <w:spacing w:after="240"/>
        <w:jc w:val="both"/>
        <w:rPr>
          <w:spacing w:val="2"/>
          <w:sz w:val="20"/>
          <w:szCs w:val="20"/>
          <w:lang w:val="en-GB"/>
        </w:rPr>
      </w:pPr>
    </w:p>
    <w:p w:rsidR="00BA7D8A" w:rsidRPr="005360AD" w:rsidRDefault="00BA7D8A" w:rsidP="00C26457">
      <w:pPr>
        <w:pStyle w:val="BodyText"/>
        <w:spacing w:after="240"/>
        <w:jc w:val="both"/>
        <w:rPr>
          <w:spacing w:val="2"/>
          <w:sz w:val="20"/>
          <w:szCs w:val="20"/>
        </w:rPr>
      </w:pPr>
      <w:r>
        <w:rPr>
          <w:spacing w:val="2"/>
          <w:sz w:val="20"/>
          <w:szCs w:val="20"/>
        </w:rPr>
        <w:t xml:space="preserve">In this contribution we discuss how to </w:t>
      </w:r>
      <w:r w:rsidRPr="00BA7D8A">
        <w:rPr>
          <w:spacing w:val="2"/>
          <w:sz w:val="20"/>
          <w:szCs w:val="20"/>
        </w:rPr>
        <w:t xml:space="preserve">adapt MCS, the number of RBs, and number of transmission </w:t>
      </w:r>
      <w:proofErr w:type="spellStart"/>
      <w:r w:rsidRPr="00BA7D8A">
        <w:rPr>
          <w:spacing w:val="2"/>
          <w:sz w:val="20"/>
          <w:szCs w:val="20"/>
        </w:rPr>
        <w:t>subframes</w:t>
      </w:r>
      <w:proofErr w:type="spellEnd"/>
      <w:r w:rsidRPr="00BA7D8A">
        <w:rPr>
          <w:spacing w:val="2"/>
          <w:sz w:val="20"/>
          <w:szCs w:val="20"/>
        </w:rPr>
        <w:t xml:space="preserve"> depending on the UE absolute speed and UE synchronization source (</w:t>
      </w:r>
      <w:proofErr w:type="spellStart"/>
      <w:r w:rsidRPr="00BA7D8A">
        <w:rPr>
          <w:spacing w:val="2"/>
          <w:sz w:val="20"/>
          <w:szCs w:val="20"/>
        </w:rPr>
        <w:t>e.g</w:t>
      </w:r>
      <w:proofErr w:type="spellEnd"/>
      <w:r w:rsidRPr="00BA7D8A">
        <w:rPr>
          <w:spacing w:val="2"/>
          <w:sz w:val="20"/>
          <w:szCs w:val="20"/>
        </w:rPr>
        <w:t xml:space="preserve">, GNSS or </w:t>
      </w:r>
      <w:proofErr w:type="spellStart"/>
      <w:r w:rsidRPr="00BA7D8A">
        <w:rPr>
          <w:spacing w:val="2"/>
          <w:sz w:val="20"/>
          <w:szCs w:val="20"/>
        </w:rPr>
        <w:t>eNB</w:t>
      </w:r>
      <w:proofErr w:type="spellEnd"/>
      <w:r w:rsidRPr="00BA7D8A">
        <w:rPr>
          <w:spacing w:val="2"/>
          <w:sz w:val="20"/>
          <w:szCs w:val="20"/>
        </w:rPr>
        <w:t>)</w:t>
      </w:r>
      <w:r>
        <w:rPr>
          <w:spacing w:val="2"/>
          <w:sz w:val="20"/>
          <w:szCs w:val="20"/>
        </w:rPr>
        <w:t>.</w:t>
      </w:r>
      <w:r w:rsidR="00575598">
        <w:rPr>
          <w:spacing w:val="2"/>
          <w:sz w:val="20"/>
          <w:szCs w:val="20"/>
        </w:rPr>
        <w:t xml:space="preserve"> We also consider the impact of congestion control mechanisms on different transmission parameters.</w:t>
      </w:r>
    </w:p>
    <w:p w:rsidR="007604DE" w:rsidRDefault="00517C56" w:rsidP="00D12CCF">
      <w:pPr>
        <w:pStyle w:val="Heading1"/>
      </w:pPr>
      <w:bookmarkStart w:id="3" w:name="_Ref450809928"/>
      <w:r>
        <w:t>Factors influencing the transport format and related parameters</w:t>
      </w:r>
      <w:bookmarkEnd w:id="3"/>
    </w:p>
    <w:p w:rsidR="00A179CF" w:rsidRDefault="00A179CF" w:rsidP="00D65E23">
      <w:pPr>
        <w:pStyle w:val="Heading2"/>
      </w:pPr>
      <w:r>
        <w:t>UE absolute speed</w:t>
      </w:r>
      <w:r w:rsidR="00D65E23">
        <w:t xml:space="preserve"> and </w:t>
      </w:r>
      <w:r>
        <w:t>UE synchronization source</w:t>
      </w:r>
    </w:p>
    <w:p w:rsidR="00D65E23" w:rsidRPr="00D65E23" w:rsidRDefault="00D65E23" w:rsidP="00D65E23">
      <w:r w:rsidRPr="00D65E23">
        <w:t>As</w:t>
      </w:r>
      <w:r>
        <w:t xml:space="preserve"> captured in Section </w:t>
      </w:r>
      <w:r>
        <w:fldChar w:fldCharType="begin"/>
      </w:r>
      <w:r>
        <w:instrText xml:space="preserve"> REF _Ref446688366 \r \h </w:instrText>
      </w:r>
      <w:r>
        <w:fldChar w:fldCharType="separate"/>
      </w:r>
      <w:r w:rsidR="006051C2">
        <w:t>1</w:t>
      </w:r>
      <w:r>
        <w:fldChar w:fldCharType="end"/>
      </w:r>
      <w:r>
        <w:t xml:space="preserve">, RAN1 has reached </w:t>
      </w:r>
      <w:r w:rsidR="00EC0450">
        <w:t>an</w:t>
      </w:r>
      <w:r>
        <w:t xml:space="preserve"> agreement that includes adapting </w:t>
      </w:r>
      <w:r w:rsidRPr="00D65E23">
        <w:t xml:space="preserve">MCS, number of </w:t>
      </w:r>
      <w:r>
        <w:t xml:space="preserve">allocated </w:t>
      </w:r>
      <w:r w:rsidRPr="00D65E23">
        <w:t xml:space="preserve">RBs, and number of transmission </w:t>
      </w:r>
      <w:proofErr w:type="spellStart"/>
      <w:r w:rsidRPr="00D65E23">
        <w:t>subframes</w:t>
      </w:r>
      <w:proofErr w:type="spellEnd"/>
      <w:r w:rsidRPr="00D65E23">
        <w:t xml:space="preserve"> depending on</w:t>
      </w:r>
      <w:r>
        <w:t>:</w:t>
      </w:r>
      <w:r w:rsidRPr="00D65E23">
        <w:t xml:space="preserve"> </w:t>
      </w:r>
    </w:p>
    <w:p w:rsidR="00D65E23" w:rsidRPr="002A2433" w:rsidRDefault="00D65E23" w:rsidP="002A2433">
      <w:pPr>
        <w:pStyle w:val="ListParagraph"/>
        <w:numPr>
          <w:ilvl w:val="0"/>
          <w:numId w:val="32"/>
        </w:numPr>
        <w:rPr>
          <w:rFonts w:ascii="Times New Roman" w:hAnsi="Times New Roman" w:cs="Times New Roman"/>
          <w:sz w:val="20"/>
          <w:szCs w:val="20"/>
        </w:rPr>
      </w:pPr>
      <w:r w:rsidRPr="002A2433">
        <w:rPr>
          <w:rFonts w:ascii="Times New Roman" w:hAnsi="Times New Roman" w:cs="Times New Roman"/>
          <w:sz w:val="20"/>
          <w:szCs w:val="20"/>
        </w:rPr>
        <w:t xml:space="preserve">UE absolute speed </w:t>
      </w:r>
    </w:p>
    <w:p w:rsidR="00A17C23" w:rsidRDefault="00D65E23" w:rsidP="00092C5E">
      <w:pPr>
        <w:pStyle w:val="ListParagraph"/>
        <w:numPr>
          <w:ilvl w:val="0"/>
          <w:numId w:val="32"/>
        </w:numPr>
      </w:pPr>
      <w:r w:rsidRPr="00092C5E">
        <w:rPr>
          <w:rFonts w:ascii="Times New Roman" w:hAnsi="Times New Roman" w:cs="Times New Roman"/>
          <w:sz w:val="20"/>
          <w:szCs w:val="20"/>
        </w:rPr>
        <w:t>UE synchronization source (</w:t>
      </w:r>
      <w:proofErr w:type="spellStart"/>
      <w:r w:rsidRPr="00092C5E">
        <w:rPr>
          <w:rFonts w:ascii="Times New Roman" w:hAnsi="Times New Roman" w:cs="Times New Roman"/>
          <w:sz w:val="20"/>
          <w:szCs w:val="20"/>
        </w:rPr>
        <w:t>e.g</w:t>
      </w:r>
      <w:proofErr w:type="spellEnd"/>
      <w:r w:rsidRPr="00092C5E">
        <w:rPr>
          <w:rFonts w:ascii="Times New Roman" w:hAnsi="Times New Roman" w:cs="Times New Roman"/>
          <w:sz w:val="20"/>
          <w:szCs w:val="20"/>
        </w:rPr>
        <w:t xml:space="preserve">, GNSS or </w:t>
      </w:r>
      <w:proofErr w:type="spellStart"/>
      <w:r w:rsidRPr="00092C5E">
        <w:rPr>
          <w:rFonts w:ascii="Times New Roman" w:hAnsi="Times New Roman" w:cs="Times New Roman"/>
          <w:sz w:val="20"/>
          <w:szCs w:val="20"/>
        </w:rPr>
        <w:t>eNB</w:t>
      </w:r>
      <w:proofErr w:type="spellEnd"/>
      <w:r w:rsidRPr="00092C5E">
        <w:rPr>
          <w:rFonts w:ascii="Times New Roman" w:hAnsi="Times New Roman" w:cs="Times New Roman"/>
          <w:sz w:val="20"/>
          <w:szCs w:val="20"/>
        </w:rPr>
        <w:t>)</w:t>
      </w:r>
    </w:p>
    <w:p w:rsidR="002A2433" w:rsidRPr="002A2433" w:rsidRDefault="002A2433" w:rsidP="00092C5E">
      <w:pPr>
        <w:spacing w:before="240"/>
        <w:jc w:val="both"/>
      </w:pPr>
      <w:r>
        <w:t xml:space="preserve">The aim is to ensure that the right transmit parameters are chosen based on the conditions experienced by the UE. For example, when the UE travels at low speeds and has access a good frequency reference, it should use a narrow allocation and a high </w:t>
      </w:r>
      <w:proofErr w:type="gramStart"/>
      <w:r>
        <w:t>MCS value.</w:t>
      </w:r>
      <w:proofErr w:type="gramEnd"/>
      <w:r>
        <w:t xml:space="preserve"> In contrast, decoding messages transmitted by a UE travelling at high speed and/or using a poor frequency reference may only be possible if the coding rate is sufficiently low, which requires a wider allocations and a lower MCS value.</w:t>
      </w:r>
    </w:p>
    <w:p w:rsidR="00C20CF8" w:rsidRDefault="00517C56" w:rsidP="00D253AC">
      <w:pPr>
        <w:pStyle w:val="Heading2"/>
      </w:pPr>
      <w:r>
        <w:t>C</w:t>
      </w:r>
      <w:r w:rsidR="00C20CF8">
        <w:t>ongestion control</w:t>
      </w:r>
    </w:p>
    <w:p w:rsidR="00CB6D4F" w:rsidRPr="00BE7330" w:rsidRDefault="00CE5D73" w:rsidP="00BE7330">
      <w:pPr>
        <w:jc w:val="both"/>
        <w:rPr>
          <w:lang w:val="en-US" w:eastAsia="zh-CN"/>
        </w:rPr>
      </w:pPr>
      <w:r>
        <w:t>Congestion control places limits on several transmission parameters based on the occupation of the radio environment. For example, the H</w:t>
      </w:r>
      <w:r w:rsidRPr="00CE5D73">
        <w:t>armonized Standard ETSI EN 302</w:t>
      </w:r>
      <w:r>
        <w:t> </w:t>
      </w:r>
      <w:r w:rsidRPr="00CE5D73">
        <w:t>571</w:t>
      </w:r>
      <w:r>
        <w:t xml:space="preserve"> </w:t>
      </w:r>
      <w:r w:rsidRPr="00CE5D73">
        <w:t xml:space="preserve">specifies the regulatory requirements for the radio equipment operating in </w:t>
      </w:r>
      <w:r w:rsidRPr="00CB6D4F">
        <w:t>the European 5.9 GHz ITS frequency band</w:t>
      </w:r>
      <w:r w:rsidR="00D253AC">
        <w:t xml:space="preserve"> </w:t>
      </w:r>
      <w:r w:rsidR="00D253AC">
        <w:fldChar w:fldCharType="begin"/>
      </w:r>
      <w:r w:rsidR="00D253AC">
        <w:instrText xml:space="preserve"> REF _Ref450746359 \r \h </w:instrText>
      </w:r>
      <w:r w:rsidR="00D253AC">
        <w:fldChar w:fldCharType="separate"/>
      </w:r>
      <w:r w:rsidR="006051C2">
        <w:t>[2]</w:t>
      </w:r>
      <w:r w:rsidR="00D253AC">
        <w:fldChar w:fldCharType="end"/>
      </w:r>
      <w:r w:rsidRPr="00CB6D4F">
        <w:t xml:space="preserve">. The latest draft </w:t>
      </w:r>
      <w:r w:rsidR="004D3E0B" w:rsidRPr="00CB6D4F">
        <w:t>mandates the use of congestion control</w:t>
      </w:r>
      <w:r w:rsidR="00CB6D4F" w:rsidRPr="00CB6D4F">
        <w:t xml:space="preserve"> to set the following parameters depending on the channel occupation perceived by a UE:</w:t>
      </w:r>
    </w:p>
    <w:p w:rsidR="004D3E0B" w:rsidRPr="00BE7330" w:rsidRDefault="004D3E0B"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Minimum time between two transmissions</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Maximum duration of a transmission</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Duty cycle</w:t>
      </w:r>
      <w:r w:rsidR="004554F2">
        <w:rPr>
          <w:rFonts w:ascii="Times New Roman" w:hAnsi="Times New Roman" w:cs="Times New Roman"/>
          <w:sz w:val="20"/>
          <w:szCs w:val="20"/>
        </w:rPr>
        <w:t xml:space="preserve"> (as defined in </w:t>
      </w:r>
      <w:r w:rsidR="004554F2">
        <w:rPr>
          <w:rFonts w:ascii="Times New Roman" w:hAnsi="Times New Roman" w:cs="Times New Roman"/>
          <w:sz w:val="20"/>
          <w:szCs w:val="20"/>
        </w:rPr>
        <w:fldChar w:fldCharType="begin"/>
      </w:r>
      <w:r w:rsidR="004554F2">
        <w:rPr>
          <w:rFonts w:ascii="Times New Roman" w:hAnsi="Times New Roman" w:cs="Times New Roman"/>
          <w:sz w:val="20"/>
          <w:szCs w:val="20"/>
        </w:rPr>
        <w:instrText xml:space="preserve"> REF _Ref450746359 \r \h </w:instrText>
      </w:r>
      <w:r w:rsidR="004554F2">
        <w:rPr>
          <w:rFonts w:ascii="Times New Roman" w:hAnsi="Times New Roman" w:cs="Times New Roman"/>
          <w:sz w:val="20"/>
          <w:szCs w:val="20"/>
        </w:rPr>
      </w:r>
      <w:r w:rsidR="004554F2">
        <w:rPr>
          <w:rFonts w:ascii="Times New Roman" w:hAnsi="Times New Roman" w:cs="Times New Roman"/>
          <w:sz w:val="20"/>
          <w:szCs w:val="20"/>
        </w:rPr>
        <w:fldChar w:fldCharType="separate"/>
      </w:r>
      <w:r w:rsidR="006051C2">
        <w:rPr>
          <w:rFonts w:ascii="Times New Roman" w:hAnsi="Times New Roman" w:cs="Times New Roman"/>
          <w:sz w:val="20"/>
          <w:szCs w:val="20"/>
        </w:rPr>
        <w:t>[2]</w:t>
      </w:r>
      <w:r w:rsidR="004554F2">
        <w:rPr>
          <w:rFonts w:ascii="Times New Roman" w:hAnsi="Times New Roman" w:cs="Times New Roman"/>
          <w:sz w:val="20"/>
          <w:szCs w:val="20"/>
        </w:rPr>
        <w:fldChar w:fldCharType="end"/>
      </w:r>
      <w:r w:rsidR="004554F2">
        <w:rPr>
          <w:rFonts w:ascii="Times New Roman" w:hAnsi="Times New Roman" w:cs="Times New Roman"/>
          <w:sz w:val="20"/>
          <w:szCs w:val="20"/>
        </w:rPr>
        <w:t>)</w:t>
      </w:r>
    </w:p>
    <w:p w:rsidR="00CB6D4F" w:rsidRPr="00BE7330" w:rsidRDefault="00CB6D4F" w:rsidP="00BE7330">
      <w:pPr>
        <w:pStyle w:val="ListParagraph"/>
        <w:numPr>
          <w:ilvl w:val="0"/>
          <w:numId w:val="28"/>
        </w:numPr>
        <w:jc w:val="both"/>
        <w:rPr>
          <w:rFonts w:ascii="Times New Roman" w:hAnsi="Times New Roman" w:cs="Times New Roman"/>
          <w:sz w:val="20"/>
          <w:szCs w:val="20"/>
        </w:rPr>
      </w:pPr>
      <w:r w:rsidRPr="00BE7330">
        <w:rPr>
          <w:rFonts w:ascii="Times New Roman" w:hAnsi="Times New Roman" w:cs="Times New Roman"/>
          <w:sz w:val="20"/>
          <w:szCs w:val="20"/>
        </w:rPr>
        <w:t xml:space="preserve">Message length (through the parameter frame body in </w:t>
      </w:r>
      <w:r w:rsidR="00D253AC">
        <w:rPr>
          <w:rFonts w:ascii="Times New Roman" w:hAnsi="Times New Roman" w:cs="Times New Roman"/>
          <w:sz w:val="20"/>
          <w:szCs w:val="20"/>
        </w:rPr>
        <w:fldChar w:fldCharType="begin"/>
      </w:r>
      <w:r w:rsidR="00D253AC">
        <w:rPr>
          <w:rFonts w:ascii="Times New Roman" w:hAnsi="Times New Roman" w:cs="Times New Roman"/>
          <w:sz w:val="20"/>
          <w:szCs w:val="20"/>
        </w:rPr>
        <w:instrText xml:space="preserve"> REF _Ref450746359 \r \h </w:instrText>
      </w:r>
      <w:r w:rsidR="00D253AC">
        <w:rPr>
          <w:rFonts w:ascii="Times New Roman" w:hAnsi="Times New Roman" w:cs="Times New Roman"/>
          <w:sz w:val="20"/>
          <w:szCs w:val="20"/>
        </w:rPr>
      </w:r>
      <w:r w:rsidR="00D253AC">
        <w:rPr>
          <w:rFonts w:ascii="Times New Roman" w:hAnsi="Times New Roman" w:cs="Times New Roman"/>
          <w:sz w:val="20"/>
          <w:szCs w:val="20"/>
        </w:rPr>
        <w:fldChar w:fldCharType="separate"/>
      </w:r>
      <w:r w:rsidR="006051C2">
        <w:rPr>
          <w:rFonts w:ascii="Times New Roman" w:hAnsi="Times New Roman" w:cs="Times New Roman"/>
          <w:sz w:val="20"/>
          <w:szCs w:val="20"/>
        </w:rPr>
        <w:t>[2]</w:t>
      </w:r>
      <w:r w:rsidR="00D253AC">
        <w:rPr>
          <w:rFonts w:ascii="Times New Roman" w:hAnsi="Times New Roman" w:cs="Times New Roman"/>
          <w:sz w:val="20"/>
          <w:szCs w:val="20"/>
        </w:rPr>
        <w:fldChar w:fldCharType="end"/>
      </w:r>
      <w:r>
        <w:rPr>
          <w:rFonts w:ascii="Times New Roman" w:hAnsi="Times New Roman" w:cs="Times New Roman"/>
          <w:sz w:val="20"/>
          <w:szCs w:val="20"/>
        </w:rPr>
        <w:t>)</w:t>
      </w:r>
    </w:p>
    <w:p w:rsidR="00CB6D4F" w:rsidRDefault="00CB6D4F" w:rsidP="00BE7330">
      <w:pPr>
        <w:spacing w:before="240"/>
        <w:jc w:val="both"/>
        <w:rPr>
          <w:lang w:val="en-US"/>
        </w:rPr>
      </w:pPr>
      <w:r>
        <w:rPr>
          <w:lang w:val="en-US"/>
        </w:rPr>
        <w:t>Consequently, a UE operating under such regulations will have to act over, at least, the following parameters</w:t>
      </w:r>
      <w:r w:rsidR="004554F2">
        <w:rPr>
          <w:lang w:val="en-US"/>
        </w:rPr>
        <w:t xml:space="preserve"> at the physical layer</w:t>
      </w:r>
      <w:r>
        <w:rPr>
          <w:lang w:val="en-US"/>
        </w:rPr>
        <w:t>:</w:t>
      </w:r>
    </w:p>
    <w:p w:rsidR="00CB6D4F" w:rsidRDefault="00CB6D4F" w:rsidP="00BE7330">
      <w:pPr>
        <w:pStyle w:val="ListParagraph"/>
        <w:numPr>
          <w:ilvl w:val="0"/>
          <w:numId w:val="29"/>
        </w:numPr>
        <w:jc w:val="both"/>
        <w:rPr>
          <w:rFonts w:ascii="Times New Roman" w:hAnsi="Times New Roman" w:cs="Times New Roman"/>
          <w:sz w:val="20"/>
          <w:szCs w:val="20"/>
        </w:rPr>
      </w:pPr>
      <w:r w:rsidRPr="00BE7330">
        <w:rPr>
          <w:rFonts w:ascii="Times New Roman" w:hAnsi="Times New Roman" w:cs="Times New Roman"/>
          <w:sz w:val="20"/>
          <w:szCs w:val="20"/>
        </w:rPr>
        <w:t xml:space="preserve">Number of </w:t>
      </w:r>
      <w:r w:rsidR="004554F2">
        <w:rPr>
          <w:rFonts w:ascii="Times New Roman" w:hAnsi="Times New Roman" w:cs="Times New Roman"/>
          <w:sz w:val="20"/>
          <w:szCs w:val="20"/>
        </w:rPr>
        <w:t xml:space="preserve">physical layer </w:t>
      </w:r>
      <w:r w:rsidRPr="00BE7330">
        <w:rPr>
          <w:rFonts w:ascii="Times New Roman" w:hAnsi="Times New Roman" w:cs="Times New Roman"/>
          <w:sz w:val="20"/>
          <w:szCs w:val="20"/>
        </w:rPr>
        <w:t>retransmissions</w:t>
      </w:r>
    </w:p>
    <w:p w:rsidR="00CB6D4F" w:rsidRDefault="00CB6D4F" w:rsidP="00BE7330">
      <w:pPr>
        <w:pStyle w:val="ListParagraph"/>
        <w:numPr>
          <w:ilvl w:val="0"/>
          <w:numId w:val="29"/>
        </w:numPr>
        <w:jc w:val="both"/>
        <w:rPr>
          <w:rFonts w:ascii="Times New Roman" w:hAnsi="Times New Roman" w:cs="Times New Roman"/>
          <w:sz w:val="20"/>
          <w:szCs w:val="20"/>
        </w:rPr>
      </w:pPr>
      <w:r>
        <w:rPr>
          <w:rFonts w:ascii="Times New Roman" w:hAnsi="Times New Roman" w:cs="Times New Roman"/>
          <w:sz w:val="20"/>
          <w:szCs w:val="20"/>
        </w:rPr>
        <w:t>Number of RBs used for transmission</w:t>
      </w:r>
    </w:p>
    <w:p w:rsidR="00CB6D4F" w:rsidRPr="00BE7330" w:rsidRDefault="00CB6D4F" w:rsidP="00BE7330">
      <w:pPr>
        <w:pStyle w:val="ListParagraph"/>
        <w:numPr>
          <w:ilvl w:val="0"/>
          <w:numId w:val="29"/>
        </w:numPr>
        <w:jc w:val="both"/>
        <w:rPr>
          <w:rFonts w:ascii="Times New Roman" w:hAnsi="Times New Roman" w:cs="Times New Roman"/>
          <w:sz w:val="20"/>
          <w:szCs w:val="20"/>
        </w:rPr>
      </w:pPr>
      <w:r>
        <w:rPr>
          <w:rFonts w:ascii="Times New Roman" w:hAnsi="Times New Roman" w:cs="Times New Roman"/>
          <w:sz w:val="20"/>
          <w:szCs w:val="20"/>
        </w:rPr>
        <w:t>MCS and TBS</w:t>
      </w:r>
    </w:p>
    <w:p w:rsidR="00BD7464" w:rsidRPr="00974195" w:rsidRDefault="00BD7464" w:rsidP="00D253AC">
      <w:pPr>
        <w:spacing w:before="240"/>
        <w:jc w:val="both"/>
      </w:pPr>
      <w:r>
        <w:lastRenderedPageBreak/>
        <w:t xml:space="preserve">We discuss </w:t>
      </w:r>
      <w:proofErr w:type="spellStart"/>
      <w:r>
        <w:t>aspectes</w:t>
      </w:r>
      <w:proofErr w:type="spellEnd"/>
      <w:r>
        <w:t xml:space="preserve"> related to congestion control in a RAN2 contribution.</w:t>
      </w:r>
    </w:p>
    <w:p w:rsidR="004D3E0B" w:rsidRPr="004D3E0B" w:rsidRDefault="004D3E0B" w:rsidP="00D253AC">
      <w:pPr>
        <w:spacing w:before="240"/>
        <w:jc w:val="both"/>
        <w:rPr>
          <w:b/>
          <w:i/>
        </w:rPr>
      </w:pPr>
      <w:r w:rsidRPr="00BE7330">
        <w:rPr>
          <w:b/>
          <w:i/>
        </w:rPr>
        <w:t>Proposal</w:t>
      </w:r>
      <w:r w:rsidR="00EB1B57">
        <w:rPr>
          <w:b/>
          <w:i/>
        </w:rPr>
        <w:t>s</w:t>
      </w:r>
      <w:r w:rsidRPr="00BE7330">
        <w:rPr>
          <w:b/>
          <w:i/>
        </w:rPr>
        <w:t>:</w:t>
      </w:r>
    </w:p>
    <w:p w:rsidR="004D3E0B" w:rsidRPr="00BE7330" w:rsidRDefault="004D3E0B" w:rsidP="00BE7330">
      <w:pPr>
        <w:pStyle w:val="ListParagraph"/>
        <w:numPr>
          <w:ilvl w:val="0"/>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The UE adapts the following parameters according to the input from congestion control:</w:t>
      </w:r>
    </w:p>
    <w:p w:rsidR="004D3E0B" w:rsidRDefault="004D3E0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w:t>
      </w:r>
      <w:r w:rsidR="00F11FEB">
        <w:rPr>
          <w:rFonts w:ascii="Times New Roman" w:hAnsi="Times New Roman" w:cs="Times New Roman"/>
          <w:b/>
          <w:i/>
          <w:sz w:val="20"/>
          <w:szCs w:val="20"/>
        </w:rPr>
        <w:t xml:space="preserve"> number</w:t>
      </w:r>
      <w:r>
        <w:rPr>
          <w:rFonts w:ascii="Times New Roman" w:hAnsi="Times New Roman" w:cs="Times New Roman"/>
          <w:b/>
          <w:i/>
          <w:sz w:val="20"/>
          <w:szCs w:val="20"/>
        </w:rPr>
        <w:t xml:space="preserve"> </w:t>
      </w:r>
      <w:r w:rsidR="00F11FEB">
        <w:rPr>
          <w:rFonts w:ascii="Times New Roman" w:hAnsi="Times New Roman" w:cs="Times New Roman"/>
          <w:b/>
          <w:i/>
          <w:sz w:val="20"/>
          <w:szCs w:val="20"/>
        </w:rPr>
        <w:t>of RBs used for transmission</w:t>
      </w:r>
    </w:p>
    <w:p w:rsidR="004D3E0B" w:rsidRDefault="004D3E0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 number of retransmissions</w:t>
      </w:r>
    </w:p>
    <w:p w:rsidR="00F11FEB" w:rsidRDefault="00F11FEB"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Allowable MCS values</w:t>
      </w:r>
    </w:p>
    <w:p w:rsidR="00AD1CD7" w:rsidRPr="00BE7330" w:rsidRDefault="00AD1CD7" w:rsidP="00BE7330">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Transmit power</w:t>
      </w:r>
    </w:p>
    <w:p w:rsidR="00CE5D73" w:rsidRPr="00C877C4" w:rsidRDefault="004D3E0B" w:rsidP="00CE5D73">
      <w:pPr>
        <w:pStyle w:val="ListParagraph"/>
        <w:numPr>
          <w:ilvl w:val="1"/>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FFS: other parameters</w:t>
      </w:r>
    </w:p>
    <w:p w:rsidR="002A2433" w:rsidRDefault="002A2433" w:rsidP="00D0339F">
      <w:pPr>
        <w:pStyle w:val="Heading1"/>
      </w:pPr>
      <w:r>
        <w:t>Adaptation of transport format parameters</w:t>
      </w:r>
    </w:p>
    <w:p w:rsidR="00FE07EF" w:rsidRDefault="002A2433" w:rsidP="00AD1CD7">
      <w:pPr>
        <w:jc w:val="both"/>
      </w:pPr>
      <w:r>
        <w:t xml:space="preserve">In Section </w:t>
      </w:r>
      <w:r w:rsidR="008473C2">
        <w:fldChar w:fldCharType="begin"/>
      </w:r>
      <w:r w:rsidR="008473C2">
        <w:instrText xml:space="preserve"> REF _Ref450809928 \r \h </w:instrText>
      </w:r>
      <w:r w:rsidR="00AD1CD7">
        <w:instrText xml:space="preserve"> \* MERGEFORMAT </w:instrText>
      </w:r>
      <w:r w:rsidR="008473C2">
        <w:fldChar w:fldCharType="separate"/>
      </w:r>
      <w:r w:rsidR="006051C2">
        <w:t>2</w:t>
      </w:r>
      <w:r w:rsidR="008473C2">
        <w:fldChar w:fldCharType="end"/>
      </w:r>
      <w:r>
        <w:t xml:space="preserve">, we discussed several factors that must influence the </w:t>
      </w:r>
      <w:proofErr w:type="spellStart"/>
      <w:r>
        <w:t>decission</w:t>
      </w:r>
      <w:proofErr w:type="spellEnd"/>
      <w:r>
        <w:t xml:space="preserve"> of the transport format</w:t>
      </w:r>
      <w:r w:rsidR="004A25AD">
        <w:t xml:space="preserve"> (TF)</w:t>
      </w:r>
      <w:r>
        <w:t xml:space="preserve"> and its associated parameters. </w:t>
      </w:r>
      <w:r w:rsidR="004A25AD">
        <w:t xml:space="preserve">In principle, it is possible to define the restrictions (in MCS, number of RBs, </w:t>
      </w:r>
      <w:r w:rsidR="00B434D4">
        <w:t xml:space="preserve">number of retransmissions, </w:t>
      </w:r>
      <w:r w:rsidR="004A25AD">
        <w:t>etc.) introduced by each of the factors individually and choose parameters that meet all restrictions at the same time. However, this</w:t>
      </w:r>
      <w:r w:rsidR="00FE07EF">
        <w:t xml:space="preserve"> has several problems:</w:t>
      </w:r>
    </w:p>
    <w:p w:rsidR="00FE07EF" w:rsidRDefault="00FE07EF" w:rsidP="00974195">
      <w:pPr>
        <w:pStyle w:val="ListParagraph"/>
        <w:numPr>
          <w:ilvl w:val="0"/>
          <w:numId w:val="27"/>
        </w:numPr>
        <w:jc w:val="both"/>
        <w:rPr>
          <w:rFonts w:ascii="Times New Roman" w:hAnsi="Times New Roman"/>
          <w:sz w:val="20"/>
        </w:rPr>
      </w:pPr>
      <w:r>
        <w:rPr>
          <w:rFonts w:ascii="Times New Roman" w:hAnsi="Times New Roman" w:cs="Times New Roman"/>
          <w:sz w:val="20"/>
          <w:szCs w:val="20"/>
        </w:rPr>
        <w:t>The restrictions may be incompatible between them. For example, ‘high speed’ requires a conservative TF while ‘accurate synchronization’ indicates the use of aggressive TF.</w:t>
      </w:r>
    </w:p>
    <w:p w:rsidR="00FE07EF" w:rsidRDefault="00FE07EF" w:rsidP="00974195">
      <w:pPr>
        <w:pStyle w:val="ListParagraph"/>
        <w:numPr>
          <w:ilvl w:val="0"/>
          <w:numId w:val="27"/>
        </w:numPr>
        <w:jc w:val="both"/>
        <w:rPr>
          <w:rFonts w:ascii="Times New Roman" w:hAnsi="Times New Roman"/>
          <w:sz w:val="20"/>
        </w:rPr>
      </w:pPr>
      <w:r>
        <w:rPr>
          <w:rFonts w:ascii="Times New Roman" w:hAnsi="Times New Roman" w:cs="Times New Roman"/>
          <w:sz w:val="20"/>
          <w:szCs w:val="20"/>
        </w:rPr>
        <w:t xml:space="preserve">The restrictions placed by Congestion Control (if any) must take precedence over any other restrictions. The reason is that Congestion Control is a mandatory requirement for accessing some bands in certain areas, as we discussed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_Ref450746359 \r \h </w:instrText>
      </w:r>
      <w:r w:rsidR="00AD1CD7">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051C2">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FE07EF" w:rsidRDefault="00FE07EF" w:rsidP="00974195">
      <w:pPr>
        <w:spacing w:before="240"/>
        <w:jc w:val="both"/>
      </w:pPr>
      <w:r>
        <w:t>Therefore, we believe that it is better to have a function that takes into account all these factors and puts out a ‘State’ value that can be used for obtaining the actual restrictions on the TF and other parameters</w:t>
      </w:r>
      <w:r w:rsidR="00EB1B57">
        <w:t>:</w:t>
      </w:r>
    </w:p>
    <w:p w:rsidR="004A25AD" w:rsidRDefault="004A25AD" w:rsidP="00974195">
      <w:pPr>
        <w:jc w:val="center"/>
      </w:pPr>
      <m:oMathPara>
        <m:oMath>
          <m:r>
            <m:rPr>
              <m:nor/>
            </m:rPr>
            <w:rPr>
              <w:rFonts w:ascii="Cambria Math" w:hAnsi="Cambria Math"/>
            </w:rPr>
            <m:t xml:space="preserve">State=f(Speed, </m:t>
          </m:r>
          <w:proofErr w:type="spellStart"/>
          <m:r>
            <m:rPr>
              <m:nor/>
            </m:rPr>
            <w:rPr>
              <w:rFonts w:ascii="Cambria Math" w:hAnsi="Cambria Math"/>
            </w:rPr>
            <m:t>Synchornization</m:t>
          </m:r>
          <w:proofErr w:type="spellEnd"/>
          <m:r>
            <m:rPr>
              <m:nor/>
            </m:rPr>
            <w:rPr>
              <w:rFonts w:ascii="Cambria Math" w:hAnsi="Cambria Math"/>
            </w:rPr>
            <m:t xml:space="preserve">, Input from </m:t>
          </m:r>
          <m:r>
            <m:rPr>
              <m:sty m:val="p"/>
            </m:rPr>
            <w:rPr>
              <w:rFonts w:ascii="Cambria Math" w:hAnsi="Cambria Math"/>
            </w:rPr>
            <m:t>congestion control)</m:t>
          </m:r>
        </m:oMath>
      </m:oMathPara>
    </w:p>
    <w:p w:rsidR="00FE07EF" w:rsidRDefault="00EB1B57" w:rsidP="00AD1CD7">
      <w:pPr>
        <w:jc w:val="both"/>
      </w:pPr>
      <w:r>
        <w:t xml:space="preserve">For example, the output of </w:t>
      </w:r>
      <w:proofErr w:type="gramStart"/>
      <w:r>
        <w:t>f(</w:t>
      </w:r>
      <w:proofErr w:type="gramEnd"/>
      <w:r>
        <w:t>.,.,.) could be ‘Conservative’, ‘Neutral’, or ‘Aggressive’ and be used for limiting the choices of MCS and number of RBs a</w:t>
      </w:r>
      <w:r w:rsidR="009F318D">
        <w:t>s</w:t>
      </w:r>
      <w:r>
        <w:t xml:space="preserve"> illustrated in </w:t>
      </w:r>
      <w:r w:rsidR="009F318D">
        <w:fldChar w:fldCharType="begin"/>
      </w:r>
      <w:r w:rsidR="009F318D">
        <w:instrText xml:space="preserve"> REF _Ref450768844 \h </w:instrText>
      </w:r>
      <w:r w:rsidR="00AD1CD7">
        <w:instrText xml:space="preserve"> \* MERGEFORMAT </w:instrText>
      </w:r>
      <w:r w:rsidR="009F318D">
        <w:fldChar w:fldCharType="separate"/>
      </w:r>
      <w:r w:rsidR="006051C2">
        <w:t xml:space="preserve">Figure </w:t>
      </w:r>
      <w:r w:rsidR="006051C2">
        <w:rPr>
          <w:noProof/>
        </w:rPr>
        <w:t>1</w:t>
      </w:r>
      <w:r w:rsidR="009F318D">
        <w:fldChar w:fldCharType="end"/>
      </w:r>
      <w:r w:rsidR="009F318D">
        <w:t>.</w:t>
      </w:r>
      <w:r w:rsidR="00BD7464">
        <w:t xml:space="preserve"> </w:t>
      </w:r>
      <w:r w:rsidR="008473C2">
        <w:t>In this example, t</w:t>
      </w:r>
      <w:r w:rsidR="00BD7464">
        <w:t>he ‘Conservative’ profile ensures that enough redundancy is transmitted and that high MCS values are avoided (e.g., for UEs travelling at high speeds), the ‘Neutral’ profile gives the most flexibility (e.g., within the limits of the Congestion Control policy), and the ‘Aggressive’ profile forces UEs to use high coding rates (e.g., for congested or low-mobility scenarios).</w:t>
      </w:r>
    </w:p>
    <w:p w:rsidR="00BD7464" w:rsidRDefault="00BD7464" w:rsidP="00092C5E">
      <w:pPr>
        <w:keepNext/>
      </w:pPr>
      <w:r>
        <w:rPr>
          <w:noProof/>
          <w:lang w:val="sv-SE" w:eastAsia="sv-SE"/>
        </w:rPr>
        <w:drawing>
          <wp:inline distT="0" distB="0" distL="0" distR="0" wp14:anchorId="68C672FF" wp14:editId="203693A7">
            <wp:extent cx="2160000" cy="13058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r>
        <w:rPr>
          <w:noProof/>
          <w:lang w:val="sv-SE" w:eastAsia="sv-SE"/>
        </w:rPr>
        <w:drawing>
          <wp:inline distT="0" distB="0" distL="0" distR="0" wp14:anchorId="68CB4089" wp14:editId="5877C3ED">
            <wp:extent cx="2160000" cy="1305868"/>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r>
        <w:rPr>
          <w:noProof/>
          <w:lang w:val="sv-SE" w:eastAsia="sv-SE"/>
        </w:rPr>
        <w:drawing>
          <wp:inline distT="0" distB="0" distL="0" distR="0" wp14:anchorId="05A4341E" wp14:editId="07700E49">
            <wp:extent cx="2160000" cy="1305868"/>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0000" cy="1305868"/>
                    </a:xfrm>
                    <a:prstGeom prst="rect">
                      <a:avLst/>
                    </a:prstGeom>
                    <a:noFill/>
                  </pic:spPr>
                </pic:pic>
              </a:graphicData>
            </a:graphic>
          </wp:inline>
        </w:drawing>
      </w:r>
    </w:p>
    <w:p w:rsidR="00EB1B57" w:rsidRDefault="00EB1B57" w:rsidP="00092C5E">
      <w:pPr>
        <w:pStyle w:val="Caption"/>
        <w:jc w:val="center"/>
      </w:pPr>
      <w:bookmarkStart w:id="4" w:name="_Ref450768844"/>
      <w:proofErr w:type="gramStart"/>
      <w:r>
        <w:t xml:space="preserve">Figure </w:t>
      </w:r>
      <w:r>
        <w:fldChar w:fldCharType="begin"/>
      </w:r>
      <w:r>
        <w:instrText xml:space="preserve"> SEQ Figure \* ARABIC </w:instrText>
      </w:r>
      <w:r>
        <w:fldChar w:fldCharType="separate"/>
      </w:r>
      <w:r w:rsidR="006051C2">
        <w:rPr>
          <w:noProof/>
        </w:rPr>
        <w:t>1</w:t>
      </w:r>
      <w:r>
        <w:fldChar w:fldCharType="end"/>
      </w:r>
      <w:bookmarkEnd w:id="4"/>
      <w:r>
        <w:t>.</w:t>
      </w:r>
      <w:proofErr w:type="gramEnd"/>
      <w:r>
        <w:t xml:space="preserve"> Example of the restrictions on </w:t>
      </w:r>
      <w:r w:rsidRPr="00EB1B57">
        <w:t>MCS</w:t>
      </w:r>
      <w:r w:rsidR="00BC28D5">
        <w:t>,</w:t>
      </w:r>
      <w:r w:rsidRPr="00EB1B57">
        <w:t xml:space="preserve"> number of RBs</w:t>
      </w:r>
      <w:r w:rsidR="00BC28D5">
        <w:t>, and number of retransmissions</w:t>
      </w:r>
      <w:r>
        <w:t xml:space="preserve"> for ‘Conservative’ (left), ‘Neutral’ (middle), and ‘Aggressive’ states.</w:t>
      </w:r>
    </w:p>
    <w:p w:rsidR="002A2433" w:rsidRDefault="00FE07EF" w:rsidP="00092C5E">
      <w:r>
        <w:t>With this approach, it is also simpler to add new restrictions in the future, if necessary.</w:t>
      </w:r>
    </w:p>
    <w:p w:rsidR="00EB1B57" w:rsidRPr="00092C5E" w:rsidRDefault="00EB1B57" w:rsidP="00092C5E">
      <w:pPr>
        <w:rPr>
          <w:b/>
          <w:i/>
        </w:rPr>
      </w:pPr>
      <w:r w:rsidRPr="00092C5E">
        <w:rPr>
          <w:b/>
          <w:i/>
        </w:rPr>
        <w:t>Observation:</w:t>
      </w:r>
    </w:p>
    <w:p w:rsidR="00EB1B57" w:rsidRPr="00092C5E" w:rsidRDefault="00517C56" w:rsidP="00092C5E">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The restrictions placed by congestion control take precedence over any other restrictions.</w:t>
      </w:r>
    </w:p>
    <w:p w:rsidR="00EB1B57" w:rsidRPr="00092C5E" w:rsidRDefault="00EB1B57" w:rsidP="00092C5E">
      <w:pPr>
        <w:spacing w:before="240"/>
        <w:rPr>
          <w:b/>
          <w:i/>
        </w:rPr>
      </w:pPr>
      <w:r w:rsidRPr="00092C5E">
        <w:rPr>
          <w:b/>
          <w:i/>
        </w:rPr>
        <w:t>Proposals:</w:t>
      </w:r>
    </w:p>
    <w:p w:rsidR="00EB1B57" w:rsidRPr="00092C5E" w:rsidRDefault="00092C5E" w:rsidP="00092C5E">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 xml:space="preserve">The UE restricts its choice of MCS, RB allocation, and number of retransmissions as a function of, at least, UE speed, synchronization source, and input from congestion control. </w:t>
      </w:r>
    </w:p>
    <w:p w:rsidR="00092C5E" w:rsidRPr="00092C5E" w:rsidRDefault="00092C5E" w:rsidP="00092C5E">
      <w:pPr>
        <w:pStyle w:val="ListParagraph"/>
        <w:numPr>
          <w:ilvl w:val="1"/>
          <w:numId w:val="33"/>
        </w:numPr>
        <w:rPr>
          <w:rFonts w:ascii="Times New Roman" w:hAnsi="Times New Roman"/>
          <w:b/>
          <w:i/>
          <w:sz w:val="20"/>
        </w:rPr>
      </w:pPr>
      <w:r>
        <w:rPr>
          <w:rFonts w:ascii="Times New Roman" w:hAnsi="Times New Roman" w:cs="Times New Roman"/>
          <w:b/>
          <w:i/>
          <w:sz w:val="20"/>
          <w:szCs w:val="20"/>
        </w:rPr>
        <w:t>FFS: Details of the function</w:t>
      </w:r>
    </w:p>
    <w:p w:rsidR="00D0339F" w:rsidRPr="00744368" w:rsidRDefault="00D0339F" w:rsidP="00D0339F">
      <w:pPr>
        <w:pStyle w:val="Heading1"/>
      </w:pPr>
      <w:r w:rsidRPr="00744368">
        <w:t>Conclusions</w:t>
      </w:r>
      <w:r w:rsidR="00A11B11" w:rsidRPr="00744368">
        <w:t xml:space="preserve"> </w:t>
      </w:r>
    </w:p>
    <w:p w:rsidR="00206269" w:rsidRPr="004D3E0B" w:rsidRDefault="00206269" w:rsidP="00206269">
      <w:pPr>
        <w:spacing w:before="240"/>
        <w:jc w:val="both"/>
        <w:rPr>
          <w:b/>
          <w:i/>
        </w:rPr>
      </w:pPr>
      <w:r w:rsidRPr="00BE7330">
        <w:rPr>
          <w:b/>
          <w:i/>
        </w:rPr>
        <w:t>Proposal</w:t>
      </w:r>
      <w:r>
        <w:rPr>
          <w:b/>
          <w:i/>
        </w:rPr>
        <w:t>s</w:t>
      </w:r>
      <w:r w:rsidRPr="00BE7330">
        <w:rPr>
          <w:b/>
          <w:i/>
        </w:rPr>
        <w:t>:</w:t>
      </w:r>
    </w:p>
    <w:p w:rsidR="00206269" w:rsidRPr="00BE7330" w:rsidRDefault="00206269" w:rsidP="00206269">
      <w:pPr>
        <w:pStyle w:val="ListParagraph"/>
        <w:numPr>
          <w:ilvl w:val="0"/>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The UE adapts the following parameters according to the input from congestion control:</w:t>
      </w:r>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Maximum number of RBs used for transmission</w:t>
      </w:r>
      <w:bookmarkStart w:id="5" w:name="_GoBack"/>
      <w:bookmarkEnd w:id="5"/>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lastRenderedPageBreak/>
        <w:t>Maximum number of retransmissions</w:t>
      </w:r>
    </w:p>
    <w:p w:rsidR="00206269"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Allowable MCS values</w:t>
      </w:r>
    </w:p>
    <w:p w:rsidR="00206269" w:rsidRPr="00BE7330" w:rsidRDefault="00206269" w:rsidP="00206269">
      <w:pPr>
        <w:pStyle w:val="ListParagraph"/>
        <w:numPr>
          <w:ilvl w:val="1"/>
          <w:numId w:val="27"/>
        </w:numPr>
        <w:jc w:val="both"/>
        <w:rPr>
          <w:rFonts w:ascii="Times New Roman" w:hAnsi="Times New Roman" w:cs="Times New Roman"/>
          <w:b/>
          <w:i/>
          <w:sz w:val="20"/>
          <w:szCs w:val="20"/>
        </w:rPr>
      </w:pPr>
      <w:r>
        <w:rPr>
          <w:rFonts w:ascii="Times New Roman" w:hAnsi="Times New Roman" w:cs="Times New Roman"/>
          <w:b/>
          <w:i/>
          <w:sz w:val="20"/>
          <w:szCs w:val="20"/>
        </w:rPr>
        <w:t>Transmit power</w:t>
      </w:r>
    </w:p>
    <w:p w:rsidR="00206269" w:rsidRPr="00BE7330" w:rsidRDefault="00206269" w:rsidP="00206269">
      <w:pPr>
        <w:pStyle w:val="ListParagraph"/>
        <w:numPr>
          <w:ilvl w:val="1"/>
          <w:numId w:val="27"/>
        </w:numPr>
        <w:jc w:val="both"/>
        <w:rPr>
          <w:rFonts w:ascii="Times New Roman" w:hAnsi="Times New Roman" w:cs="Times New Roman"/>
          <w:b/>
          <w:i/>
          <w:sz w:val="20"/>
          <w:szCs w:val="20"/>
        </w:rPr>
      </w:pPr>
      <w:r w:rsidRPr="00BE7330">
        <w:rPr>
          <w:rFonts w:ascii="Times New Roman" w:hAnsi="Times New Roman" w:cs="Times New Roman"/>
          <w:b/>
          <w:i/>
          <w:sz w:val="20"/>
          <w:szCs w:val="20"/>
        </w:rPr>
        <w:t>FFS: other parameters</w:t>
      </w:r>
    </w:p>
    <w:p w:rsidR="00206269" w:rsidRPr="00092C5E" w:rsidRDefault="00206269" w:rsidP="00206269">
      <w:pPr>
        <w:spacing w:before="240"/>
        <w:rPr>
          <w:b/>
          <w:i/>
        </w:rPr>
      </w:pPr>
      <w:r w:rsidRPr="00092C5E">
        <w:rPr>
          <w:b/>
          <w:i/>
        </w:rPr>
        <w:t>Observation:</w:t>
      </w:r>
    </w:p>
    <w:p w:rsidR="00206269" w:rsidRPr="00092C5E" w:rsidRDefault="00206269" w:rsidP="00206269">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The restrictions placed by congestion control take precedence over any other restrictions.</w:t>
      </w:r>
    </w:p>
    <w:p w:rsidR="00206269" w:rsidRPr="00092C5E" w:rsidRDefault="00206269" w:rsidP="00206269">
      <w:pPr>
        <w:spacing w:before="240"/>
        <w:rPr>
          <w:b/>
          <w:i/>
        </w:rPr>
      </w:pPr>
      <w:r w:rsidRPr="00092C5E">
        <w:rPr>
          <w:b/>
          <w:i/>
        </w:rPr>
        <w:t>Proposals:</w:t>
      </w:r>
    </w:p>
    <w:p w:rsidR="00206269" w:rsidRPr="00092C5E" w:rsidRDefault="00206269" w:rsidP="00206269">
      <w:pPr>
        <w:pStyle w:val="ListParagraph"/>
        <w:numPr>
          <w:ilvl w:val="0"/>
          <w:numId w:val="33"/>
        </w:numPr>
        <w:rPr>
          <w:rFonts w:ascii="Times New Roman" w:hAnsi="Times New Roman"/>
          <w:b/>
          <w:i/>
          <w:sz w:val="20"/>
        </w:rPr>
      </w:pPr>
      <w:r w:rsidRPr="00092C5E">
        <w:rPr>
          <w:rFonts w:ascii="Times New Roman" w:hAnsi="Times New Roman" w:cs="Times New Roman"/>
          <w:b/>
          <w:i/>
          <w:sz w:val="20"/>
          <w:szCs w:val="20"/>
        </w:rPr>
        <w:t xml:space="preserve">The UE restricts its choice of MCS, RB allocation, and number of retransmissions as a function of, at least, UE speed, synchronization source, and input from congestion control. </w:t>
      </w:r>
    </w:p>
    <w:p w:rsidR="00206269" w:rsidRPr="00092C5E" w:rsidRDefault="00206269" w:rsidP="00206269">
      <w:pPr>
        <w:pStyle w:val="ListParagraph"/>
        <w:numPr>
          <w:ilvl w:val="1"/>
          <w:numId w:val="33"/>
        </w:numPr>
        <w:rPr>
          <w:rFonts w:ascii="Times New Roman" w:hAnsi="Times New Roman"/>
          <w:b/>
          <w:i/>
          <w:sz w:val="20"/>
        </w:rPr>
      </w:pPr>
      <w:r>
        <w:rPr>
          <w:rFonts w:ascii="Times New Roman" w:hAnsi="Times New Roman" w:cs="Times New Roman"/>
          <w:b/>
          <w:i/>
          <w:sz w:val="20"/>
          <w:szCs w:val="20"/>
        </w:rPr>
        <w:t>FFS: Details of the function</w:t>
      </w:r>
    </w:p>
    <w:p w:rsidR="00BB5340" w:rsidRDefault="00BB5340" w:rsidP="004306F8">
      <w:pPr>
        <w:spacing w:after="0"/>
        <w:rPr>
          <w:b/>
          <w:bCs/>
          <w:i/>
          <w:iCs/>
        </w:rPr>
      </w:pPr>
    </w:p>
    <w:p w:rsidR="009A1074" w:rsidRPr="00DA1475" w:rsidRDefault="00C02A80" w:rsidP="00856691">
      <w:pPr>
        <w:pStyle w:val="Heading1"/>
      </w:pPr>
      <w:r w:rsidRPr="00DA1475">
        <w:t>References</w:t>
      </w:r>
    </w:p>
    <w:p w:rsidR="00FE6265" w:rsidRPr="00206269" w:rsidRDefault="00BB5340" w:rsidP="00B13B77">
      <w:pPr>
        <w:numPr>
          <w:ilvl w:val="0"/>
          <w:numId w:val="21"/>
        </w:numPr>
        <w:ind w:hanging="720"/>
        <w:rPr>
          <w:sz w:val="22"/>
          <w:szCs w:val="22"/>
        </w:rPr>
      </w:pPr>
      <w:bookmarkStart w:id="6" w:name="_Ref450809913"/>
      <w:bookmarkStart w:id="7" w:name="_Ref442446938"/>
      <w:r w:rsidRPr="00206269">
        <w:rPr>
          <w:color w:val="312E25"/>
          <w:sz w:val="22"/>
          <w:szCs w:val="22"/>
          <w:lang w:eastAsia="sv-SE"/>
        </w:rPr>
        <w:t>RAN1#</w:t>
      </w:r>
      <w:r w:rsidR="00EC0450" w:rsidRPr="00206269">
        <w:rPr>
          <w:color w:val="312E25"/>
          <w:sz w:val="22"/>
          <w:szCs w:val="22"/>
          <w:lang w:eastAsia="sv-SE"/>
        </w:rPr>
        <w:t>8</w:t>
      </w:r>
      <w:r w:rsidR="00EC0450">
        <w:rPr>
          <w:color w:val="312E25"/>
          <w:sz w:val="22"/>
          <w:szCs w:val="22"/>
          <w:lang w:eastAsia="sv-SE"/>
        </w:rPr>
        <w:t>5</w:t>
      </w:r>
      <w:r w:rsidRPr="00206269">
        <w:rPr>
          <w:color w:val="312E25"/>
          <w:sz w:val="22"/>
          <w:szCs w:val="22"/>
          <w:lang w:eastAsia="sv-SE"/>
        </w:rPr>
        <w:t>, Chairman’s notes</w:t>
      </w:r>
      <w:bookmarkEnd w:id="6"/>
    </w:p>
    <w:p w:rsidR="00372917" w:rsidRPr="00273712" w:rsidRDefault="00372917" w:rsidP="00B13B77">
      <w:pPr>
        <w:numPr>
          <w:ilvl w:val="0"/>
          <w:numId w:val="21"/>
        </w:numPr>
        <w:ind w:hanging="720"/>
        <w:rPr>
          <w:sz w:val="22"/>
          <w:szCs w:val="22"/>
        </w:rPr>
      </w:pPr>
      <w:bookmarkStart w:id="8" w:name="_Ref450746359"/>
      <w:r w:rsidRPr="00974195">
        <w:rPr>
          <w:sz w:val="22"/>
          <w:szCs w:val="22"/>
        </w:rPr>
        <w:t xml:space="preserve">Draft ETSI EN 302 571 V2.0.0 (2016-03), </w:t>
      </w:r>
      <w:proofErr w:type="spellStart"/>
      <w:r w:rsidRPr="00974195">
        <w:rPr>
          <w:sz w:val="22"/>
          <w:szCs w:val="22"/>
        </w:rPr>
        <w:t>Radiocommunications</w:t>
      </w:r>
      <w:proofErr w:type="spellEnd"/>
      <w:r w:rsidRPr="00974195">
        <w:rPr>
          <w:sz w:val="22"/>
          <w:szCs w:val="22"/>
        </w:rPr>
        <w:t xml:space="preserve"> </w:t>
      </w:r>
      <w:r w:rsidRPr="00206269">
        <w:rPr>
          <w:sz w:val="22"/>
          <w:szCs w:val="22"/>
        </w:rPr>
        <w:t>equipment operating in the 5 855 MHz to 5 925 MHz frequency band; Harmonised Standard covering the essential requirements of article 3.2 of Directive 2014/53/EU</w:t>
      </w:r>
      <w:bookmarkEnd w:id="8"/>
    </w:p>
    <w:bookmarkEnd w:id="7"/>
    <w:p w:rsidR="00417A97" w:rsidRPr="0030028E" w:rsidRDefault="00417A97" w:rsidP="00A94ADF">
      <w:pPr>
        <w:rPr>
          <w:lang w:val="en-US"/>
        </w:rPr>
      </w:pPr>
    </w:p>
    <w:sectPr w:rsidR="00417A97" w:rsidRPr="0030028E"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90D" w:rsidRDefault="007C090D">
      <w:r>
        <w:separator/>
      </w:r>
    </w:p>
  </w:endnote>
  <w:endnote w:type="continuationSeparator" w:id="0">
    <w:p w:rsidR="007C090D" w:rsidRDefault="007C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90D" w:rsidRDefault="007C090D">
      <w:r>
        <w:separator/>
      </w:r>
    </w:p>
  </w:footnote>
  <w:footnote w:type="continuationSeparator" w:id="0">
    <w:p w:rsidR="007C090D" w:rsidRDefault="007C0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66F5C99"/>
    <w:multiLevelType w:val="hybridMultilevel"/>
    <w:tmpl w:val="29AE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4">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A5656"/>
    <w:multiLevelType w:val="hybridMultilevel"/>
    <w:tmpl w:val="F74A5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170A8C"/>
    <w:multiLevelType w:val="hybridMultilevel"/>
    <w:tmpl w:val="8A3E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454922"/>
    <w:multiLevelType w:val="hybridMultilevel"/>
    <w:tmpl w:val="1A766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A250D5F"/>
    <w:multiLevelType w:val="hybridMultilevel"/>
    <w:tmpl w:val="F45C2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05742B8"/>
    <w:multiLevelType w:val="hybridMultilevel"/>
    <w:tmpl w:val="BCFA35C2"/>
    <w:lvl w:ilvl="0" w:tplc="B846EA68">
      <w:start w:val="1"/>
      <w:numFmt w:val="bullet"/>
      <w:lvlText w:val="•"/>
      <w:lvlJc w:val="left"/>
      <w:pPr>
        <w:tabs>
          <w:tab w:val="num" w:pos="720"/>
        </w:tabs>
        <w:ind w:left="720" w:hanging="360"/>
      </w:pPr>
      <w:rPr>
        <w:rFonts w:ascii="Arial" w:hAnsi="Arial" w:hint="default"/>
      </w:rPr>
    </w:lvl>
    <w:lvl w:ilvl="1" w:tplc="5A3C1D04">
      <w:start w:val="1"/>
      <w:numFmt w:val="bullet"/>
      <w:lvlText w:val="•"/>
      <w:lvlJc w:val="left"/>
      <w:pPr>
        <w:tabs>
          <w:tab w:val="num" w:pos="1440"/>
        </w:tabs>
        <w:ind w:left="1440" w:hanging="360"/>
      </w:pPr>
      <w:rPr>
        <w:rFonts w:ascii="Arial" w:hAnsi="Arial" w:hint="default"/>
      </w:rPr>
    </w:lvl>
    <w:lvl w:ilvl="2" w:tplc="6B201DF4">
      <w:start w:val="1"/>
      <w:numFmt w:val="bullet"/>
      <w:lvlText w:val="•"/>
      <w:lvlJc w:val="left"/>
      <w:pPr>
        <w:tabs>
          <w:tab w:val="num" w:pos="2160"/>
        </w:tabs>
        <w:ind w:left="2160" w:hanging="360"/>
      </w:pPr>
      <w:rPr>
        <w:rFonts w:ascii="Arial" w:hAnsi="Arial" w:hint="default"/>
      </w:rPr>
    </w:lvl>
    <w:lvl w:ilvl="3" w:tplc="831C5246">
      <w:start w:val="1"/>
      <w:numFmt w:val="bullet"/>
      <w:lvlText w:val="•"/>
      <w:lvlJc w:val="left"/>
      <w:pPr>
        <w:tabs>
          <w:tab w:val="num" w:pos="2880"/>
        </w:tabs>
        <w:ind w:left="2880" w:hanging="360"/>
      </w:pPr>
      <w:rPr>
        <w:rFonts w:ascii="Arial" w:hAnsi="Arial" w:hint="default"/>
      </w:rPr>
    </w:lvl>
    <w:lvl w:ilvl="4" w:tplc="D9B22FD8">
      <w:start w:val="1"/>
      <w:numFmt w:val="bullet"/>
      <w:lvlText w:val="•"/>
      <w:lvlJc w:val="left"/>
      <w:pPr>
        <w:tabs>
          <w:tab w:val="num" w:pos="3600"/>
        </w:tabs>
        <w:ind w:left="3600" w:hanging="360"/>
      </w:pPr>
      <w:rPr>
        <w:rFonts w:ascii="Arial" w:hAnsi="Arial" w:hint="default"/>
      </w:rPr>
    </w:lvl>
    <w:lvl w:ilvl="5" w:tplc="F1F844C2" w:tentative="1">
      <w:start w:val="1"/>
      <w:numFmt w:val="bullet"/>
      <w:lvlText w:val="•"/>
      <w:lvlJc w:val="left"/>
      <w:pPr>
        <w:tabs>
          <w:tab w:val="num" w:pos="4320"/>
        </w:tabs>
        <w:ind w:left="4320" w:hanging="360"/>
      </w:pPr>
      <w:rPr>
        <w:rFonts w:ascii="Arial" w:hAnsi="Arial" w:hint="default"/>
      </w:rPr>
    </w:lvl>
    <w:lvl w:ilvl="6" w:tplc="5BAE7674" w:tentative="1">
      <w:start w:val="1"/>
      <w:numFmt w:val="bullet"/>
      <w:lvlText w:val="•"/>
      <w:lvlJc w:val="left"/>
      <w:pPr>
        <w:tabs>
          <w:tab w:val="num" w:pos="5040"/>
        </w:tabs>
        <w:ind w:left="5040" w:hanging="360"/>
      </w:pPr>
      <w:rPr>
        <w:rFonts w:ascii="Arial" w:hAnsi="Arial" w:hint="default"/>
      </w:rPr>
    </w:lvl>
    <w:lvl w:ilvl="7" w:tplc="E12A86AC" w:tentative="1">
      <w:start w:val="1"/>
      <w:numFmt w:val="bullet"/>
      <w:lvlText w:val="•"/>
      <w:lvlJc w:val="left"/>
      <w:pPr>
        <w:tabs>
          <w:tab w:val="num" w:pos="5760"/>
        </w:tabs>
        <w:ind w:left="5760" w:hanging="360"/>
      </w:pPr>
      <w:rPr>
        <w:rFonts w:ascii="Arial" w:hAnsi="Arial" w:hint="default"/>
      </w:rPr>
    </w:lvl>
    <w:lvl w:ilvl="8" w:tplc="E534C06A" w:tentative="1">
      <w:start w:val="1"/>
      <w:numFmt w:val="bullet"/>
      <w:lvlText w:val="•"/>
      <w:lvlJc w:val="left"/>
      <w:pPr>
        <w:tabs>
          <w:tab w:val="num" w:pos="6480"/>
        </w:tabs>
        <w:ind w:left="6480" w:hanging="360"/>
      </w:pPr>
      <w:rPr>
        <w:rFonts w:ascii="Arial" w:hAnsi="Arial" w:hint="default"/>
      </w:rPr>
    </w:lvl>
  </w:abstractNum>
  <w:abstractNum w:abstractNumId="18">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CE0E94"/>
    <w:multiLevelType w:val="hybridMultilevel"/>
    <w:tmpl w:val="EF9C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65E3635"/>
    <w:multiLevelType w:val="hybridMultilevel"/>
    <w:tmpl w:val="77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6"/>
  </w:num>
  <w:num w:numId="2">
    <w:abstractNumId w:val="27"/>
  </w:num>
  <w:num w:numId="3">
    <w:abstractNumId w:val="23"/>
  </w:num>
  <w:num w:numId="4">
    <w:abstractNumId w:val="8"/>
  </w:num>
  <w:num w:numId="5">
    <w:abstractNumId w:val="11"/>
  </w:num>
  <w:num w:numId="6">
    <w:abstractNumId w:val="28"/>
  </w:num>
  <w:num w:numId="7">
    <w:abstractNumId w:val="18"/>
  </w:num>
  <w:num w:numId="8">
    <w:abstractNumId w:val="10"/>
  </w:num>
  <w:num w:numId="9">
    <w:abstractNumId w:val="19"/>
  </w:num>
  <w:num w:numId="10">
    <w:abstractNumId w:val="14"/>
  </w:num>
  <w:num w:numId="11">
    <w:abstractNumId w:val="5"/>
  </w:num>
  <w:num w:numId="12">
    <w:abstractNumId w:val="22"/>
  </w:num>
  <w:num w:numId="13">
    <w:abstractNumId w:val="25"/>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9"/>
  </w:num>
  <w:num w:numId="24">
    <w:abstractNumId w:val="26"/>
  </w:num>
  <w:num w:numId="25">
    <w:abstractNumId w:val="3"/>
  </w:num>
  <w:num w:numId="26">
    <w:abstractNumId w:val="20"/>
  </w:num>
  <w:num w:numId="27">
    <w:abstractNumId w:val="12"/>
  </w:num>
  <w:num w:numId="28">
    <w:abstractNumId w:val="24"/>
  </w:num>
  <w:num w:numId="29">
    <w:abstractNumId w:val="2"/>
  </w:num>
  <w:num w:numId="30">
    <w:abstractNumId w:val="21"/>
  </w:num>
  <w:num w:numId="31">
    <w:abstractNumId w:val="6"/>
  </w:num>
  <w:num w:numId="32">
    <w:abstractNumId w:val="7"/>
  </w:num>
  <w:num w:numId="33">
    <w:abstractNumId w:val="15"/>
  </w:num>
  <w:num w:numId="34">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u Do">
    <w15:presenceInfo w15:providerId="AD" w15:userId="S-1-5-21-1538607324-3213881460-940295383-7644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52B"/>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5E"/>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1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A0"/>
    <w:rsid w:val="002029C4"/>
    <w:rsid w:val="00202B2C"/>
    <w:rsid w:val="00202E16"/>
    <w:rsid w:val="00202F44"/>
    <w:rsid w:val="0020396D"/>
    <w:rsid w:val="00203A43"/>
    <w:rsid w:val="00203ACF"/>
    <w:rsid w:val="00203C92"/>
    <w:rsid w:val="00204056"/>
    <w:rsid w:val="00204355"/>
    <w:rsid w:val="0020454B"/>
    <w:rsid w:val="00204AED"/>
    <w:rsid w:val="00206269"/>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2FC"/>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12"/>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433"/>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755"/>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DC1"/>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917"/>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4F2"/>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5AD"/>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3E0B"/>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2E9"/>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C56"/>
    <w:rsid w:val="00521057"/>
    <w:rsid w:val="00521149"/>
    <w:rsid w:val="005220E2"/>
    <w:rsid w:val="005220E8"/>
    <w:rsid w:val="00522C62"/>
    <w:rsid w:val="00522F4F"/>
    <w:rsid w:val="0052360D"/>
    <w:rsid w:val="00523C63"/>
    <w:rsid w:val="0052420C"/>
    <w:rsid w:val="0052440A"/>
    <w:rsid w:val="00524526"/>
    <w:rsid w:val="005252E9"/>
    <w:rsid w:val="00525782"/>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5F62"/>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598"/>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1C2"/>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C51"/>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5C2"/>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A3A"/>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90D"/>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3C2"/>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08C"/>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7C2"/>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195"/>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18D"/>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179CF"/>
    <w:rsid w:val="00A17C23"/>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87"/>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1CD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4D4"/>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8D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464"/>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330"/>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CF8"/>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7C4"/>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D4F"/>
    <w:rsid w:val="00CB6E0A"/>
    <w:rsid w:val="00CB6F1C"/>
    <w:rsid w:val="00CB7882"/>
    <w:rsid w:val="00CB7A9D"/>
    <w:rsid w:val="00CB7C9B"/>
    <w:rsid w:val="00CC0730"/>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5D73"/>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2B0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3AC"/>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5E23"/>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2F91"/>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B57"/>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0450"/>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BB2"/>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FEB"/>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0F68"/>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7EF"/>
    <w:rsid w:val="00FE09BD"/>
    <w:rsid w:val="00FE0B61"/>
    <w:rsid w:val="00FE105F"/>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4A25A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uiPriority="99"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4A25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7CF77-D743-49EE-8863-F50C9EEFF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1039</Words>
  <Characters>5510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Stefano Sorrentino</cp:lastModifiedBy>
  <cp:revision>18</cp:revision>
  <dcterms:created xsi:type="dcterms:W3CDTF">2015-11-06T13:50:00Z</dcterms:created>
  <dcterms:modified xsi:type="dcterms:W3CDTF">2016-08-12T13:42:00Z</dcterms:modified>
</cp:coreProperties>
</file>